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EB" w:rsidRDefault="001937CB" w:rsidP="0058685A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1937CB">
        <w:rPr>
          <w:rFonts w:ascii="Times New Roman" w:hAnsi="Times New Roman" w:cs="Times New Roman"/>
          <w:sz w:val="32"/>
          <w:szCs w:val="32"/>
        </w:rPr>
        <w:t>Уважаемые участники индивидуального образовательного маршрута!</w:t>
      </w:r>
    </w:p>
    <w:p w:rsidR="001937CB" w:rsidRDefault="001937CB" w:rsidP="001937CB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Подходит к завершению реализация </w:t>
      </w:r>
      <w:proofErr w:type="gramStart"/>
      <w:r>
        <w:rPr>
          <w:rFonts w:ascii="Times New Roman" w:hAnsi="Times New Roman" w:cs="Times New Roman"/>
          <w:sz w:val="32"/>
          <w:szCs w:val="32"/>
        </w:rPr>
        <w:t>Вашего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ИОМ.</w:t>
      </w:r>
    </w:p>
    <w:p w:rsidR="0058685A" w:rsidRDefault="001937CB" w:rsidP="005868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8685A">
        <w:rPr>
          <w:rFonts w:ascii="Times New Roman" w:hAnsi="Times New Roman" w:cs="Times New Roman"/>
          <w:sz w:val="28"/>
          <w:szCs w:val="28"/>
        </w:rPr>
        <w:t>Вам необходимо провести  мониторинг результатов освоения ИОМ согласно  Приложению</w:t>
      </w:r>
      <w:r w:rsidR="0058685A" w:rsidRPr="0058685A">
        <w:rPr>
          <w:rFonts w:ascii="Times New Roman" w:hAnsi="Times New Roman" w:cs="Times New Roman"/>
          <w:sz w:val="28"/>
          <w:szCs w:val="28"/>
        </w:rPr>
        <w:t xml:space="preserve"> «Мониторинг мероприятий по направлению  «Региональная целевая модель наставничества»</w:t>
      </w:r>
      <w:r w:rsidRPr="0058685A">
        <w:rPr>
          <w:rFonts w:ascii="Times New Roman" w:hAnsi="Times New Roman" w:cs="Times New Roman"/>
          <w:sz w:val="28"/>
          <w:szCs w:val="28"/>
        </w:rPr>
        <w:t xml:space="preserve">. В данном документе перечислены основные события регионального уровня, в </w:t>
      </w:r>
      <w:r w:rsidR="0058685A">
        <w:rPr>
          <w:rFonts w:ascii="Times New Roman" w:hAnsi="Times New Roman" w:cs="Times New Roman"/>
          <w:sz w:val="28"/>
          <w:szCs w:val="28"/>
        </w:rPr>
        <w:t>которых В</w:t>
      </w:r>
      <w:r w:rsidRPr="0058685A">
        <w:rPr>
          <w:rFonts w:ascii="Times New Roman" w:hAnsi="Times New Roman" w:cs="Times New Roman"/>
          <w:sz w:val="28"/>
          <w:szCs w:val="28"/>
        </w:rPr>
        <w:t xml:space="preserve">ы могли принимать участие, а также указаны баллы/часы за каждое событие с графой «ИТОГО», </w:t>
      </w:r>
      <w:r w:rsidR="0058685A">
        <w:rPr>
          <w:rFonts w:ascii="Times New Roman" w:hAnsi="Times New Roman" w:cs="Times New Roman"/>
          <w:sz w:val="28"/>
          <w:szCs w:val="28"/>
        </w:rPr>
        <w:t>в которую</w:t>
      </w:r>
      <w:r w:rsidRPr="0058685A">
        <w:rPr>
          <w:rFonts w:ascii="Times New Roman" w:hAnsi="Times New Roman" w:cs="Times New Roman"/>
          <w:sz w:val="28"/>
          <w:szCs w:val="28"/>
        </w:rPr>
        <w:t xml:space="preserve"> необходимо после подсчета внести  общее количество часов. </w:t>
      </w:r>
      <w:r w:rsidR="0058685A">
        <w:rPr>
          <w:rFonts w:ascii="Times New Roman" w:hAnsi="Times New Roman" w:cs="Times New Roman"/>
          <w:sz w:val="28"/>
          <w:szCs w:val="28"/>
        </w:rPr>
        <w:t>Не забудьте к итоговой сумме приплюсовать баллы за Тест</w:t>
      </w:r>
      <w:r w:rsidR="00735E1D">
        <w:rPr>
          <w:rFonts w:ascii="Times New Roman" w:hAnsi="Times New Roman" w:cs="Times New Roman"/>
          <w:sz w:val="28"/>
          <w:szCs w:val="28"/>
        </w:rPr>
        <w:t>.</w:t>
      </w:r>
    </w:p>
    <w:p w:rsidR="001937CB" w:rsidRPr="0058685A" w:rsidRDefault="0058685A" w:rsidP="002B3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85A">
        <w:rPr>
          <w:rFonts w:ascii="Times New Roman" w:hAnsi="Times New Roman" w:cs="Times New Roman"/>
          <w:sz w:val="28"/>
          <w:szCs w:val="28"/>
        </w:rPr>
        <w:t xml:space="preserve">Вам необходимо будет в своем личном кабинете на платформе </w:t>
      </w:r>
      <w:proofErr w:type="spellStart"/>
      <w:r w:rsidRPr="0058685A">
        <w:rPr>
          <w:rFonts w:ascii="Times New Roman" w:hAnsi="Times New Roman" w:cs="Times New Roman"/>
          <w:sz w:val="28"/>
          <w:szCs w:val="28"/>
          <w:lang w:val="en-US"/>
        </w:rPr>
        <w:t>moodle</w:t>
      </w:r>
      <w:proofErr w:type="spellEnd"/>
      <w:r w:rsidRPr="0058685A">
        <w:rPr>
          <w:rFonts w:ascii="Times New Roman" w:hAnsi="Times New Roman" w:cs="Times New Roman"/>
          <w:sz w:val="28"/>
          <w:szCs w:val="28"/>
        </w:rPr>
        <w:t xml:space="preserve"> загрузить Приложение  «Мониторинг мероприятий по направлению  «Региональная целевая модель наставничества». Прикреплять подтверждающие документы не нужно, так как есть регистрационные списки всех региональных событий,  на основе которых будет проведена сверка.</w:t>
      </w:r>
    </w:p>
    <w:p w:rsidR="001937CB" w:rsidRDefault="001937CB" w:rsidP="002B3D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85A">
        <w:rPr>
          <w:rFonts w:ascii="Times New Roman" w:hAnsi="Times New Roman" w:cs="Times New Roman"/>
          <w:sz w:val="28"/>
          <w:szCs w:val="28"/>
        </w:rPr>
        <w:t xml:space="preserve">В ИОМ Вы можете внести событие муниципального уровня, в </w:t>
      </w:r>
      <w:proofErr w:type="gramStart"/>
      <w:r w:rsidRPr="005868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58685A">
        <w:rPr>
          <w:rFonts w:ascii="Times New Roman" w:hAnsi="Times New Roman" w:cs="Times New Roman"/>
          <w:sz w:val="28"/>
          <w:szCs w:val="28"/>
        </w:rPr>
        <w:t xml:space="preserve"> Вы приняли участие, прикрепив подтверждающие документы. Количество затраченных Вами часов </w:t>
      </w:r>
      <w:r w:rsidR="00735E1D">
        <w:rPr>
          <w:rFonts w:ascii="Times New Roman" w:hAnsi="Times New Roman" w:cs="Times New Roman"/>
          <w:sz w:val="28"/>
          <w:szCs w:val="28"/>
        </w:rPr>
        <w:t xml:space="preserve">на участие в событиях муниципального уровня </w:t>
      </w:r>
      <w:r w:rsidRPr="0058685A">
        <w:rPr>
          <w:rFonts w:ascii="Times New Roman" w:hAnsi="Times New Roman" w:cs="Times New Roman"/>
          <w:sz w:val="28"/>
          <w:szCs w:val="28"/>
        </w:rPr>
        <w:t>может быть аналогично региональным событиям</w:t>
      </w:r>
      <w:r w:rsidR="00735E1D">
        <w:rPr>
          <w:rFonts w:ascii="Times New Roman" w:hAnsi="Times New Roman" w:cs="Times New Roman"/>
          <w:sz w:val="28"/>
          <w:szCs w:val="28"/>
        </w:rPr>
        <w:t>.</w:t>
      </w:r>
    </w:p>
    <w:p w:rsidR="00BB54EC" w:rsidRDefault="00BB54EC" w:rsidP="002B3D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4EC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 ниже таблицы необходимо </w:t>
      </w:r>
      <w:proofErr w:type="gramStart"/>
      <w:r w:rsidRPr="00BB54EC">
        <w:rPr>
          <w:rFonts w:ascii="Times New Roman" w:hAnsi="Times New Roman" w:cs="Times New Roman"/>
          <w:sz w:val="28"/>
          <w:szCs w:val="28"/>
          <w:lang w:val="ru-RU"/>
        </w:rPr>
        <w:t>разместить сведения</w:t>
      </w:r>
      <w:proofErr w:type="gramEnd"/>
      <w:r w:rsidRPr="00BB54EC">
        <w:rPr>
          <w:rFonts w:ascii="Times New Roman" w:hAnsi="Times New Roman" w:cs="Times New Roman"/>
          <w:sz w:val="28"/>
          <w:szCs w:val="28"/>
          <w:lang w:val="ru-RU"/>
        </w:rPr>
        <w:t xml:space="preserve"> 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заключительном</w:t>
      </w:r>
      <w:r w:rsidRPr="00735E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публично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 мероприятии, </w:t>
      </w:r>
      <w:r w:rsidRPr="00BB54EC">
        <w:rPr>
          <w:rFonts w:ascii="Times New Roman" w:hAnsi="Times New Roman" w:cs="Times New Roman"/>
          <w:sz w:val="28"/>
          <w:szCs w:val="28"/>
          <w:lang w:val="ru-RU"/>
        </w:rPr>
        <w:t xml:space="preserve">которое является </w:t>
      </w:r>
      <w:r>
        <w:rPr>
          <w:rFonts w:ascii="Times New Roman" w:hAnsi="Times New Roman" w:cs="Times New Roman"/>
          <w:sz w:val="28"/>
          <w:szCs w:val="28"/>
          <w:lang w:val="ru-RU"/>
        </w:rPr>
        <w:t>процедурой прохождения итоговой аттестации.</w:t>
      </w:r>
    </w:p>
    <w:p w:rsidR="002B3D30" w:rsidRDefault="002B3D30" w:rsidP="002B3D30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 окончании  маршрута Вы получите сертификат о реализации индивидуального образовательного маршрута с указанием направления, количества часов и формы презентации опыта. </w:t>
      </w:r>
    </w:p>
    <w:p w:rsidR="00BB54EC" w:rsidRDefault="002B3D30" w:rsidP="002B3D30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Данный сертификат может быть предъявлен педагогом для прохождения процедуры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аттестации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качестве подтверждения участия аттестуемого в одном из направлений инновационной деятельности и трансляции опыта на муниципальном и региональном уровнях.</w:t>
      </w:r>
    </w:p>
    <w:p w:rsidR="006D1335" w:rsidRDefault="00BB54EC" w:rsidP="006D1335">
      <w:pPr>
        <w:pStyle w:val="a5"/>
        <w:jc w:val="right"/>
        <w:rPr>
          <w:rFonts w:ascii="Times New Roman" w:hAnsi="Times New Roman" w:cs="Times New Roman"/>
          <w:sz w:val="32"/>
          <w:szCs w:val="32"/>
          <w:lang w:val="ru-RU"/>
        </w:rPr>
      </w:pPr>
      <w:r w:rsidRPr="00735E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685A" w:rsidRPr="006D1335">
        <w:rPr>
          <w:rFonts w:ascii="Times New Roman" w:hAnsi="Times New Roman" w:cs="Times New Roman"/>
          <w:sz w:val="32"/>
          <w:szCs w:val="32"/>
          <w:lang w:val="ru-RU"/>
        </w:rPr>
        <w:t>Приложение</w:t>
      </w:r>
    </w:p>
    <w:p w:rsidR="006D1335" w:rsidRPr="006D1335" w:rsidRDefault="0058685A" w:rsidP="006D1335">
      <w:pPr>
        <w:pStyle w:val="a5"/>
        <w:rPr>
          <w:rFonts w:ascii="Times New Roman" w:hAnsi="Times New Roman" w:cs="Times New Roman"/>
          <w:sz w:val="32"/>
          <w:szCs w:val="32"/>
          <w:lang w:val="ru-RU"/>
        </w:rPr>
      </w:pPr>
      <w:r w:rsidRPr="006D1335">
        <w:rPr>
          <w:rFonts w:ascii="Times New Roman" w:hAnsi="Times New Roman" w:cs="Times New Roman"/>
          <w:sz w:val="32"/>
          <w:szCs w:val="32"/>
          <w:lang w:val="ru-RU"/>
        </w:rPr>
        <w:lastRenderedPageBreak/>
        <w:t xml:space="preserve"> </w:t>
      </w:r>
      <w:r w:rsidR="006D1335">
        <w:rPr>
          <w:rFonts w:ascii="Times New Roman" w:hAnsi="Times New Roman" w:cs="Times New Roman"/>
          <w:sz w:val="32"/>
          <w:szCs w:val="32"/>
          <w:lang w:val="ru-RU"/>
        </w:rPr>
        <w:t>Образец ИОМ</w:t>
      </w:r>
    </w:p>
    <w:p w:rsidR="0058685A" w:rsidRPr="00BB54EC" w:rsidRDefault="0058685A" w:rsidP="0058685A">
      <w:pPr>
        <w:rPr>
          <w:rFonts w:ascii="Times New Roman" w:hAnsi="Times New Roman" w:cs="Times New Roman"/>
          <w:sz w:val="32"/>
          <w:szCs w:val="32"/>
        </w:rPr>
      </w:pPr>
      <w:r w:rsidRPr="00BB54EC">
        <w:rPr>
          <w:rFonts w:ascii="Times New Roman" w:hAnsi="Times New Roman" w:cs="Times New Roman"/>
          <w:sz w:val="32"/>
          <w:szCs w:val="32"/>
        </w:rPr>
        <w:t>Мониторинг  мероприятий по направлению  «Региональная целевая модель наставничества»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4411"/>
        <w:gridCol w:w="1826"/>
        <w:gridCol w:w="1843"/>
        <w:gridCol w:w="1417"/>
        <w:gridCol w:w="1701"/>
        <w:gridCol w:w="1701"/>
        <w:gridCol w:w="1701"/>
      </w:tblGrid>
      <w:tr w:rsidR="0058685A" w:rsidRPr="00CF53DD" w:rsidTr="003B5F90">
        <w:tc>
          <w:tcPr>
            <w:tcW w:w="81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4"/>
              <w:gridCol w:w="236"/>
              <w:gridCol w:w="236"/>
              <w:gridCol w:w="236"/>
              <w:gridCol w:w="236"/>
            </w:tblGrid>
            <w:tr w:rsidR="0058685A" w:rsidRPr="00CF53DD" w:rsidTr="003B5F90">
              <w:trPr>
                <w:trHeight w:val="659"/>
              </w:trPr>
              <w:tc>
                <w:tcPr>
                  <w:tcW w:w="564" w:type="dxa"/>
                </w:tcPr>
                <w:p w:rsidR="0058685A" w:rsidRPr="00CF53DD" w:rsidRDefault="0058685A" w:rsidP="003B5F90">
                  <w:pPr>
                    <w:pStyle w:val="Default"/>
                  </w:pPr>
                  <w:r w:rsidRPr="00CF53DD">
                    <w:rPr>
                      <w:b/>
                      <w:bCs/>
                    </w:rPr>
                    <w:t xml:space="preserve">№ </w:t>
                  </w:r>
                  <w:proofErr w:type="gramStart"/>
                  <w:r w:rsidRPr="00CF53DD">
                    <w:rPr>
                      <w:b/>
                      <w:bCs/>
                    </w:rPr>
                    <w:t>п</w:t>
                  </w:r>
                  <w:proofErr w:type="gramEnd"/>
                  <w:r w:rsidRPr="00CF53DD">
                    <w:rPr>
                      <w:b/>
                      <w:bCs/>
                    </w:rPr>
                    <w:t xml:space="preserve">/п </w:t>
                  </w:r>
                </w:p>
              </w:tc>
              <w:tc>
                <w:tcPr>
                  <w:tcW w:w="222" w:type="dxa"/>
                </w:tcPr>
                <w:p w:rsidR="0058685A" w:rsidRPr="00CF53DD" w:rsidRDefault="0058685A" w:rsidP="003B5F90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8685A" w:rsidRPr="00CF53DD" w:rsidRDefault="0058685A" w:rsidP="003B5F90">
                  <w:pPr>
                    <w:pStyle w:val="Default"/>
                  </w:pPr>
                  <w:r w:rsidRPr="00CF53D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22" w:type="dxa"/>
                </w:tcPr>
                <w:p w:rsidR="0058685A" w:rsidRPr="00CF53DD" w:rsidRDefault="0058685A" w:rsidP="003B5F90">
                  <w:pPr>
                    <w:pStyle w:val="Default"/>
                  </w:pPr>
                </w:p>
              </w:tc>
              <w:tc>
                <w:tcPr>
                  <w:tcW w:w="222" w:type="dxa"/>
                </w:tcPr>
                <w:p w:rsidR="0058685A" w:rsidRPr="00CF53DD" w:rsidRDefault="0058685A" w:rsidP="003B5F90">
                  <w:pPr>
                    <w:pStyle w:val="Default"/>
                  </w:pPr>
                </w:p>
              </w:tc>
            </w:tr>
          </w:tbl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8685A" w:rsidRPr="00CF53DD" w:rsidRDefault="00BB54EC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Мероприятие, обеспечивающе</w:t>
            </w:r>
            <w:r w:rsidR="0058685A" w:rsidRPr="00CF5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повышение уровня профессиональных компетенций</w:t>
            </w:r>
          </w:p>
        </w:tc>
        <w:tc>
          <w:tcPr>
            <w:tcW w:w="182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68"/>
            </w:tblGrid>
            <w:tr w:rsidR="0058685A" w:rsidRPr="00CF53DD" w:rsidTr="003B5F90">
              <w:trPr>
                <w:trHeight w:val="659"/>
              </w:trPr>
              <w:tc>
                <w:tcPr>
                  <w:tcW w:w="1968" w:type="dxa"/>
                </w:tcPr>
                <w:p w:rsidR="0058685A" w:rsidRPr="00CF53DD" w:rsidRDefault="0058685A" w:rsidP="003B5F90">
                  <w:pPr>
                    <w:pStyle w:val="Default"/>
                  </w:pPr>
                  <w:r w:rsidRPr="00CF53DD">
                    <w:rPr>
                      <w:b/>
                      <w:bCs/>
                    </w:rPr>
                    <w:t xml:space="preserve">Формируемые компетенции </w:t>
                  </w:r>
                </w:p>
              </w:tc>
            </w:tr>
          </w:tbl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685A" w:rsidRPr="00CF53DD" w:rsidRDefault="0058685A" w:rsidP="003B5F90">
            <w:pPr>
              <w:pStyle w:val="Default"/>
            </w:pPr>
            <w:r w:rsidRPr="00CF53DD">
              <w:rPr>
                <w:b/>
                <w:bCs/>
              </w:rPr>
              <w:t xml:space="preserve">Уровень </w:t>
            </w:r>
          </w:p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8"/>
            </w:tblGrid>
            <w:tr w:rsidR="0058685A" w:rsidRPr="00CF53DD" w:rsidTr="003B5F90">
              <w:trPr>
                <w:trHeight w:val="659"/>
              </w:trPr>
              <w:tc>
                <w:tcPr>
                  <w:tcW w:w="1428" w:type="dxa"/>
                </w:tcPr>
                <w:p w:rsidR="0058685A" w:rsidRPr="00CF53DD" w:rsidRDefault="0058685A" w:rsidP="003B5F90">
                  <w:pPr>
                    <w:pStyle w:val="Default"/>
                  </w:pPr>
                  <w:r w:rsidRPr="00CF53DD">
                    <w:rPr>
                      <w:b/>
                      <w:bCs/>
                    </w:rPr>
                    <w:t xml:space="preserve">Сроки проведения </w:t>
                  </w:r>
                </w:p>
              </w:tc>
            </w:tr>
          </w:tbl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5A" w:rsidRPr="00CF53DD" w:rsidRDefault="0058685A" w:rsidP="003B5F90">
            <w:pPr>
              <w:pStyle w:val="Default"/>
              <w:rPr>
                <w:b/>
                <w:bCs/>
              </w:rPr>
            </w:pPr>
            <w:r w:rsidRPr="00CF53DD">
              <w:rPr>
                <w:b/>
                <w:bCs/>
              </w:rPr>
              <w:t>Форма представления результата</w:t>
            </w:r>
          </w:p>
        </w:tc>
        <w:tc>
          <w:tcPr>
            <w:tcW w:w="1701" w:type="dxa"/>
          </w:tcPr>
          <w:p w:rsidR="0058685A" w:rsidRPr="00CF53DD" w:rsidRDefault="0058685A" w:rsidP="003B5F9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</w:tr>
      <w:tr w:rsidR="0058685A" w:rsidRPr="00CF53DD" w:rsidTr="003B5F90">
        <w:tc>
          <w:tcPr>
            <w:tcW w:w="15417" w:type="dxa"/>
            <w:gridSpan w:val="8"/>
          </w:tcPr>
          <w:p w:rsidR="0058685A" w:rsidRPr="0071628A" w:rsidRDefault="0058685A" w:rsidP="003B5F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28A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Семинар «Организация подготовки ОО к федеральному мониторингу реализации целевой модели наставничества в соответствии с методическими рекомендациями Министерства просвещения РФ»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Default="006D1335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86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85A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Выступление-4ч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Семинар «Сетевое взаимодействие как эффективная форма реализации горизонтального обучения в контексте становления региональной  целевой модели наставничества».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6D1335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</w:t>
            </w: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Выступление-4ч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6EF0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брендовый знак наставнического движения в Приморском крае 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6D1335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Проект-сессия «Эффективные механизмы развития муниципальных систем наставничества в Приморском крае»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5A" w:rsidRPr="006D1335" w:rsidRDefault="006D1335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положения, программы наставничества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1+2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Семинар «Проектирование программы наставничества в образовательной организации»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6D1335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Сертификат/ Проект программы/персонализированной программы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1+4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Семинар «Региональный конкурс наставнических практик «Формула успеха»  как ресурс выявления и диссеминации инновационного опыта.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Default="006D1335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868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Семинар «Результаты участия образовательных организаций  в федеральном мониторинге реализации Целевой модели наставничества»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6D1335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11" w:type="dxa"/>
          </w:tcPr>
          <w:p w:rsidR="0058685A" w:rsidRPr="00CF53DD" w:rsidRDefault="0058685A" w:rsidP="006D1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69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 практик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«Формула успеха</w:t>
            </w:r>
            <w:r w:rsidRPr="00552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526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D1335" w:rsidRPr="006D13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58685A" w:rsidP="006D133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6D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-январь</w:t>
            </w:r>
            <w:r w:rsidR="006D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работа/практика наставничества/ экспертиза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 – 4</w:t>
            </w: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 уровень - 6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11" w:type="dxa"/>
          </w:tcPr>
          <w:p w:rsidR="0058685A" w:rsidRPr="00175FE1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5FE1">
              <w:rPr>
                <w:rFonts w:ascii="Times New Roman" w:hAnsi="Times New Roman" w:cs="Times New Roman"/>
                <w:sz w:val="24"/>
                <w:szCs w:val="24"/>
              </w:rPr>
              <w:t>Краевой Фестиваль «Педагогический десант»-2023</w:t>
            </w:r>
          </w:p>
        </w:tc>
        <w:tc>
          <w:tcPr>
            <w:tcW w:w="1826" w:type="dxa"/>
          </w:tcPr>
          <w:p w:rsidR="0058685A" w:rsidRPr="00175FE1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175FE1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175FE1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FE1"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 мастерская, презентация практики</w:t>
            </w: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11" w:type="dxa"/>
          </w:tcPr>
          <w:p w:rsidR="0058685A" w:rsidRPr="006D1335" w:rsidRDefault="0058685A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2DC">
              <w:rPr>
                <w:rFonts w:ascii="Times New Roman" w:hAnsi="Times New Roman" w:cs="Times New Roman"/>
                <w:sz w:val="24"/>
                <w:szCs w:val="24"/>
              </w:rPr>
              <w:t>Краевой Фести</w:t>
            </w:r>
            <w:r w:rsidR="006D1335">
              <w:rPr>
                <w:rFonts w:ascii="Times New Roman" w:hAnsi="Times New Roman" w:cs="Times New Roman"/>
                <w:sz w:val="24"/>
                <w:szCs w:val="24"/>
              </w:rPr>
              <w:t xml:space="preserve">валь </w:t>
            </w:r>
            <w:proofErr w:type="gramStart"/>
            <w:r w:rsidR="006D1335">
              <w:rPr>
                <w:rFonts w:ascii="Times New Roman" w:hAnsi="Times New Roman" w:cs="Times New Roman"/>
                <w:sz w:val="24"/>
                <w:szCs w:val="24"/>
              </w:rPr>
              <w:t>наставнических</w:t>
            </w:r>
            <w:proofErr w:type="gramEnd"/>
            <w:r w:rsidR="006D1335">
              <w:rPr>
                <w:rFonts w:ascii="Times New Roman" w:hAnsi="Times New Roman" w:cs="Times New Roman"/>
                <w:sz w:val="24"/>
                <w:szCs w:val="24"/>
              </w:rPr>
              <w:t xml:space="preserve"> практик-202</w:t>
            </w:r>
            <w:r w:rsidR="006D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6D1335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 мастерская, презентация практики</w:t>
            </w:r>
          </w:p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Форум «Педагогические горизонтали ДВ-2023» (презентация и диссеминация лучших практик горизонтального обучения: сетевые наставнические команды, центры «Точки роста», участники проекта «Школы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») 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6D1335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 мастерская, презентация практики</w:t>
            </w:r>
          </w:p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11" w:type="dxa"/>
          </w:tcPr>
          <w:p w:rsidR="0058685A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конференция «Открытая школа наставничества: мой первый педагогический проект»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6D1335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Мастер-класс, мастерская, презентация практики</w:t>
            </w:r>
          </w:p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1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 «Сетевые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наставнические команды»</w:t>
            </w:r>
            <w:r>
              <w:t xml:space="preserve"> </w:t>
            </w:r>
            <w:hyperlink r:id="rId5" w:history="1">
              <w:r w:rsidRPr="00DD343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https://pkiro.ru/activities/cnppm/regionalnye-nastavnicheskie-komandy/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Pr="006D1335" w:rsidRDefault="0058685A" w:rsidP="003B5F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6D1335">
              <w:rPr>
                <w:rFonts w:ascii="Times New Roman" w:hAnsi="Times New Roman" w:cs="Times New Roman"/>
                <w:sz w:val="24"/>
                <w:szCs w:val="24"/>
              </w:rPr>
              <w:t>9.202</w:t>
            </w:r>
            <w:r w:rsidR="006D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D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D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</w:t>
            </w:r>
            <w:r w:rsidR="006D133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проекта/описание практики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6/4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Региональные/муниципальные сетевые проекты 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01.09.2022-01.02.2023</w:t>
            </w:r>
          </w:p>
        </w:tc>
        <w:tc>
          <w:tcPr>
            <w:tcW w:w="1701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проекта/описание практики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1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практики в региональном банке наставнических практик </w:t>
            </w: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3DD">
              <w:rPr>
                <w:rFonts w:ascii="Times New Roman" w:hAnsi="Times New Roman" w:cs="Times New Roman"/>
                <w:sz w:val="24"/>
                <w:szCs w:val="24"/>
              </w:rPr>
              <w:t>ЦНППМ</w:t>
            </w:r>
          </w:p>
        </w:tc>
        <w:tc>
          <w:tcPr>
            <w:tcW w:w="1701" w:type="dxa"/>
          </w:tcPr>
          <w:p w:rsidR="0058685A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периода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685A" w:rsidRPr="00CF53DD" w:rsidTr="003B5F90">
        <w:tc>
          <w:tcPr>
            <w:tcW w:w="15417" w:type="dxa"/>
            <w:gridSpan w:val="8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</w:tr>
      <w:tr w:rsidR="0058685A" w:rsidRPr="00CF53DD" w:rsidTr="003B5F90">
        <w:tc>
          <w:tcPr>
            <w:tcW w:w="817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8685A" w:rsidRPr="00CF53DD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5A" w:rsidRDefault="0058685A" w:rsidP="003B5F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85A" w:rsidRPr="00CF53DD" w:rsidTr="003B5F90">
        <w:tc>
          <w:tcPr>
            <w:tcW w:w="5228" w:type="dxa"/>
            <w:gridSpan w:val="2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89" w:type="dxa"/>
            <w:gridSpan w:val="6"/>
          </w:tcPr>
          <w:p w:rsidR="0058685A" w:rsidRDefault="0058685A" w:rsidP="003B5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685A" w:rsidRDefault="00735E1D" w:rsidP="005868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E1D" w:rsidRDefault="00735E1D" w:rsidP="00735E1D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35E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Заключительное публичное мероприятие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79"/>
        <w:gridCol w:w="3402"/>
        <w:gridCol w:w="2127"/>
        <w:gridCol w:w="1778"/>
      </w:tblGrid>
      <w:tr w:rsidR="00735E1D" w:rsidTr="00BB54EC">
        <w:tc>
          <w:tcPr>
            <w:tcW w:w="7479" w:type="dxa"/>
          </w:tcPr>
          <w:p w:rsidR="00BB54EC" w:rsidRDefault="00735E1D" w:rsidP="00BB54EC">
            <w:pPr>
              <w:pStyle w:val="a5"/>
              <w:jc w:val="both"/>
              <w:rPr>
                <w:rFonts w:hint="eastAsia"/>
                <w:b/>
                <w:lang w:val="ru-RU"/>
              </w:rPr>
            </w:pPr>
            <w:r w:rsidRPr="005E0A1D">
              <w:rPr>
                <w:b/>
                <w:lang w:val="ru-RU"/>
              </w:rPr>
              <w:t xml:space="preserve">Мероприятие, демонстрирующее повышение </w:t>
            </w:r>
            <w:r w:rsidRPr="005E0A1D">
              <w:rPr>
                <w:b/>
                <w:lang w:val="ru-RU"/>
              </w:rPr>
              <w:br/>
              <w:t>уровня профессиональных компетенций</w:t>
            </w:r>
            <w:r w:rsidR="00BB54EC">
              <w:rPr>
                <w:b/>
                <w:lang w:val="ru-RU"/>
              </w:rPr>
              <w:t xml:space="preserve"> (мастер-класс, доклад, презентация опыта и т.п.)</w:t>
            </w:r>
          </w:p>
          <w:p w:rsidR="00BB54EC" w:rsidRDefault="00BB54EC" w:rsidP="00BB54E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b/>
                <w:lang w:val="ru-RU"/>
              </w:rPr>
              <w:t>Название и форма мероприятия/форма участия</w:t>
            </w:r>
          </w:p>
        </w:tc>
        <w:tc>
          <w:tcPr>
            <w:tcW w:w="3402" w:type="dxa"/>
          </w:tcPr>
          <w:p w:rsidR="00BB54EC" w:rsidRPr="005E0A1D" w:rsidRDefault="00BB54EC" w:rsidP="00BB54EC">
            <w:pPr>
              <w:pStyle w:val="a5"/>
              <w:jc w:val="both"/>
              <w:rPr>
                <w:rFonts w:hint="eastAsia"/>
                <w:b/>
                <w:lang w:val="ru-RU"/>
              </w:rPr>
            </w:pPr>
            <w:r w:rsidRPr="005E0A1D">
              <w:rPr>
                <w:b/>
                <w:lang w:val="ru-RU"/>
              </w:rPr>
              <w:t xml:space="preserve">Уровень </w:t>
            </w:r>
            <w:r w:rsidRPr="005E0A1D">
              <w:rPr>
                <w:b/>
                <w:lang w:val="ru-RU"/>
              </w:rPr>
              <w:br/>
              <w:t xml:space="preserve">проведения </w:t>
            </w:r>
            <w:r>
              <w:rPr>
                <w:b/>
                <w:lang w:val="ru-RU"/>
              </w:rPr>
              <w:t>(школьный, муниципальный, региональный)</w:t>
            </w:r>
          </w:p>
          <w:p w:rsidR="00735E1D" w:rsidRDefault="00735E1D" w:rsidP="00BB54E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BB54EC" w:rsidRPr="005E0A1D" w:rsidRDefault="00BB54EC" w:rsidP="00BB54EC">
            <w:pPr>
              <w:pStyle w:val="a5"/>
              <w:jc w:val="both"/>
              <w:rPr>
                <w:rFonts w:hint="eastAsia"/>
                <w:b/>
                <w:lang w:val="ru-RU"/>
              </w:rPr>
            </w:pPr>
            <w:r w:rsidRPr="005E0A1D">
              <w:rPr>
                <w:b/>
                <w:lang w:val="ru-RU"/>
              </w:rPr>
              <w:t xml:space="preserve">Сроки </w:t>
            </w:r>
            <w:r w:rsidRPr="005E0A1D">
              <w:rPr>
                <w:b/>
                <w:lang w:val="ru-RU"/>
              </w:rPr>
              <w:br/>
              <w:t xml:space="preserve">проведения </w:t>
            </w:r>
          </w:p>
          <w:p w:rsidR="00735E1D" w:rsidRDefault="00735E1D" w:rsidP="00BB54E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BB54EC" w:rsidRPr="005E0A1D" w:rsidRDefault="00BB54EC" w:rsidP="00BB54EC">
            <w:pPr>
              <w:pStyle w:val="a5"/>
              <w:jc w:val="both"/>
              <w:rPr>
                <w:rFonts w:hint="eastAsia"/>
                <w:b/>
                <w:lang w:val="ru-RU"/>
              </w:rPr>
            </w:pPr>
            <w:r w:rsidRPr="005E0A1D">
              <w:rPr>
                <w:b/>
                <w:lang w:val="ru-RU"/>
              </w:rPr>
              <w:t xml:space="preserve">Отметка о </w:t>
            </w:r>
            <w:r w:rsidRPr="005E0A1D">
              <w:rPr>
                <w:b/>
                <w:lang w:val="ru-RU"/>
              </w:rPr>
              <w:br/>
              <w:t xml:space="preserve">выполнении </w:t>
            </w:r>
          </w:p>
          <w:p w:rsidR="00735E1D" w:rsidRDefault="00735E1D" w:rsidP="00BB54EC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735E1D" w:rsidTr="00BB54EC">
        <w:tc>
          <w:tcPr>
            <w:tcW w:w="7479" w:type="dxa"/>
          </w:tcPr>
          <w:p w:rsidR="00735E1D" w:rsidRDefault="00735E1D" w:rsidP="00735E1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735E1D" w:rsidRDefault="00735E1D" w:rsidP="00735E1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127" w:type="dxa"/>
          </w:tcPr>
          <w:p w:rsidR="00735E1D" w:rsidRDefault="00735E1D" w:rsidP="00735E1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78" w:type="dxa"/>
          </w:tcPr>
          <w:p w:rsidR="00735E1D" w:rsidRDefault="00735E1D" w:rsidP="00735E1D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735E1D" w:rsidRPr="00735E1D" w:rsidRDefault="00735E1D" w:rsidP="00735E1D">
      <w:pPr>
        <w:pStyle w:val="a5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8685A" w:rsidRPr="001937CB" w:rsidRDefault="00735E1D" w:rsidP="00BB54EC">
      <w:pPr>
        <w:pStyle w:val="a5"/>
        <w:rPr>
          <w:rFonts w:ascii="Times New Roman" w:hAnsi="Times New Roman" w:cs="Times New Roman"/>
          <w:sz w:val="32"/>
          <w:szCs w:val="32"/>
        </w:rPr>
      </w:pPr>
      <w:r w:rsidRPr="005E0A1D">
        <w:rPr>
          <w:b/>
          <w:lang w:val="ru-RU"/>
        </w:rPr>
        <w:br/>
      </w:r>
    </w:p>
    <w:sectPr w:rsidR="0058685A" w:rsidRPr="001937CB" w:rsidSect="001937CB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C66"/>
    <w:rsid w:val="001937CB"/>
    <w:rsid w:val="002B3D30"/>
    <w:rsid w:val="00402C66"/>
    <w:rsid w:val="0058685A"/>
    <w:rsid w:val="006D1335"/>
    <w:rsid w:val="00735E1D"/>
    <w:rsid w:val="00AE6CEB"/>
    <w:rsid w:val="00B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8685A"/>
    <w:rPr>
      <w:color w:val="0000FF" w:themeColor="hyperlink"/>
      <w:u w:val="single"/>
    </w:rPr>
  </w:style>
  <w:style w:type="paragraph" w:styleId="a5">
    <w:name w:val="Body Text"/>
    <w:basedOn w:val="a"/>
    <w:link w:val="a6"/>
    <w:rsid w:val="00735E1D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6">
    <w:name w:val="Основной текст Знак"/>
    <w:basedOn w:val="a0"/>
    <w:link w:val="a5"/>
    <w:rsid w:val="00735E1D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58685A"/>
    <w:rPr>
      <w:color w:val="0000FF" w:themeColor="hyperlink"/>
      <w:u w:val="single"/>
    </w:rPr>
  </w:style>
  <w:style w:type="paragraph" w:styleId="a5">
    <w:name w:val="Body Text"/>
    <w:basedOn w:val="a"/>
    <w:link w:val="a6"/>
    <w:rsid w:val="00735E1D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a6">
    <w:name w:val="Основной текст Знак"/>
    <w:basedOn w:val="a0"/>
    <w:link w:val="a5"/>
    <w:rsid w:val="00735E1D"/>
    <w:rPr>
      <w:rFonts w:ascii="Liberation Serif" w:eastAsia="Arial Unicode MS" w:hAnsi="Liberation Serif" w:cs="Lucida Sans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kiro.ru/activities/cnppm/regionalnye-nastavnicheskie-komand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5</cp:revision>
  <dcterms:created xsi:type="dcterms:W3CDTF">2023-04-24T01:20:00Z</dcterms:created>
  <dcterms:modified xsi:type="dcterms:W3CDTF">2024-11-20T07:31:00Z</dcterms:modified>
</cp:coreProperties>
</file>